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4513DD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E41E347" w:rsidR="00F92268" w:rsidRPr="00FF66BF" w:rsidRDefault="00571C0F" w:rsidP="004513DD">
            <w:pPr>
              <w:pStyle w:val="RefTableData"/>
            </w:pPr>
            <w:r w:rsidRPr="00571C0F">
              <w:t>2616-A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DAEEB95" w:rsidR="004B15BB" w:rsidRPr="00BD1CC1" w:rsidRDefault="00571C0F" w:rsidP="007E5C16">
      <w:pPr>
        <w:pStyle w:val="Heading1"/>
      </w:pPr>
      <w:r w:rsidRPr="00571C0F">
        <w:t>Specialty Guideline Management</w:t>
      </w:r>
      <w:r>
        <w:br/>
      </w:r>
      <w:proofErr w:type="spellStart"/>
      <w:r w:rsidRPr="00571C0F">
        <w:t>Braftovi</w:t>
      </w:r>
      <w:proofErr w:type="spellEnd"/>
    </w:p>
    <w:p w14:paraId="78861C92" w14:textId="5A91A79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5C3F43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46685C">
        <w:t>Over</w:t>
      </w:r>
      <w:r w:rsidR="006122B9">
        <w:t>-</w:t>
      </w:r>
      <w:r w:rsidR="0046685C">
        <w:t>the</w:t>
      </w:r>
      <w:r w:rsidR="006122B9">
        <w:t>-</w:t>
      </w:r>
      <w:r w:rsidR="0046685C">
        <w:t>counter (</w:t>
      </w:r>
      <w:r w:rsidRPr="00BD1CC1">
        <w:t>OTC</w:t>
      </w:r>
      <w:r w:rsidR="0046685C">
        <w:t>)</w:t>
      </w:r>
      <w:r w:rsidRPr="00BD1CC1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85"/>
        <w:gridCol w:w="5385"/>
      </w:tblGrid>
      <w:tr w:rsidR="00252CE1" w:rsidRPr="00BD1CC1" w14:paraId="158421F8" w14:textId="77777777" w:rsidTr="006122B9">
        <w:trPr>
          <w:cantSplit/>
          <w:trHeight w:val="288"/>
          <w:tblHeader/>
        </w:trPr>
        <w:tc>
          <w:tcPr>
            <w:tcW w:w="538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38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6122B9">
        <w:trPr>
          <w:cantSplit/>
        </w:trPr>
        <w:tc>
          <w:tcPr>
            <w:tcW w:w="5385" w:type="dxa"/>
          </w:tcPr>
          <w:p w14:paraId="2D8FA8E3" w14:textId="3263893D" w:rsidR="00585FFF" w:rsidRPr="00BD1CC1" w:rsidRDefault="00571C0F" w:rsidP="00E82ABA">
            <w:pPr>
              <w:pStyle w:val="TableDataUnpadded"/>
            </w:pPr>
            <w:r w:rsidRPr="00571C0F">
              <w:t>Braftovi</w:t>
            </w:r>
          </w:p>
        </w:tc>
        <w:tc>
          <w:tcPr>
            <w:tcW w:w="5385" w:type="dxa"/>
          </w:tcPr>
          <w:p w14:paraId="7E26A004" w14:textId="5F450F2B" w:rsidR="00585FFF" w:rsidRPr="00BD1CC1" w:rsidRDefault="00571C0F" w:rsidP="00E82ABA">
            <w:pPr>
              <w:pStyle w:val="TableDataUnpadded"/>
            </w:pPr>
            <w:r w:rsidRPr="00571C0F">
              <w:t>encorafenib</w:t>
            </w:r>
          </w:p>
        </w:tc>
      </w:tr>
    </w:tbl>
    <w:bookmarkEnd w:id="0"/>
    <w:p w14:paraId="14CE6108" w14:textId="57C6C00D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BC4BD63" w14:textId="0BAC8F13" w:rsidR="00571C0F" w:rsidRPr="00571C0F" w:rsidRDefault="00571C0F" w:rsidP="00571C0F">
      <w:pPr>
        <w:pStyle w:val="BodyText"/>
      </w:pPr>
      <w:r w:rsidRPr="00571C0F">
        <w:t>The indications below including FDA-approved indications and compendial uses are considered a covered benefit provided that all the approval criteria are met, and the member has no exclusions to the prescribed therapy.</w:t>
      </w:r>
    </w:p>
    <w:p w14:paraId="134B5687" w14:textId="677EAAD4" w:rsidR="00ED052F" w:rsidRDefault="00ED052F" w:rsidP="00ED052F">
      <w:pPr>
        <w:pStyle w:val="Heading3"/>
        <w:keepNext w:val="0"/>
      </w:pPr>
      <w:r w:rsidRPr="00BD1CC1">
        <w:t>FDA-approved Indications</w:t>
      </w:r>
      <w:r w:rsidR="00571C0F" w:rsidRPr="00CB44D4">
        <w:rPr>
          <w:vertAlign w:val="superscript"/>
        </w:rPr>
        <w:t>1</w:t>
      </w:r>
    </w:p>
    <w:p w14:paraId="7AB88A24" w14:textId="666851BF" w:rsidR="00571C0F" w:rsidRDefault="00571C0F" w:rsidP="0079055E">
      <w:pPr>
        <w:pStyle w:val="ListParagraph"/>
      </w:pPr>
      <w:r w:rsidRPr="00C56140">
        <w:t>Braftovi is indicated, in combination with binimetinib, for the treatment of patients with unresectable or metastatic melanoma with a BRAF V600E or V600K mutation, as detected by an FDA-approved test.</w:t>
      </w:r>
    </w:p>
    <w:p w14:paraId="1B412FB9" w14:textId="50825637" w:rsidR="00CA01F5" w:rsidRDefault="00CA01F5" w:rsidP="0079055E">
      <w:pPr>
        <w:pStyle w:val="ListParagraph"/>
      </w:pPr>
      <w:r>
        <w:t>BRAF V600E Mutation-Positive Metastatic Colorectal Cancer (mCRC)</w:t>
      </w:r>
    </w:p>
    <w:p w14:paraId="695DC28E" w14:textId="42A50A64" w:rsidR="00CA01F5" w:rsidRDefault="00CA01F5" w:rsidP="00CA01F5">
      <w:pPr>
        <w:pStyle w:val="ListParagraph"/>
        <w:numPr>
          <w:ilvl w:val="0"/>
          <w:numId w:val="47"/>
        </w:numPr>
      </w:pPr>
      <w:proofErr w:type="spellStart"/>
      <w:r>
        <w:t>Braftovi</w:t>
      </w:r>
      <w:proofErr w:type="spellEnd"/>
      <w:r>
        <w:t xml:space="preserve"> is indicated, in combination with cetuximab and mFOLFOX6, for the treatment of patients with mCRC with a BRAF V600E mutation, as detected by an FDA-approved test.</w:t>
      </w:r>
    </w:p>
    <w:p w14:paraId="1498754D" w14:textId="77BBC37F" w:rsidR="00571C0F" w:rsidRDefault="00571C0F" w:rsidP="00992B87">
      <w:pPr>
        <w:pStyle w:val="ListParagraph"/>
        <w:numPr>
          <w:ilvl w:val="0"/>
          <w:numId w:val="47"/>
        </w:numPr>
      </w:pPr>
      <w:proofErr w:type="spellStart"/>
      <w:r w:rsidRPr="00C56140">
        <w:t>Braftovi</w:t>
      </w:r>
      <w:proofErr w:type="spellEnd"/>
      <w:r w:rsidRPr="00C56140">
        <w:t xml:space="preserve"> is indicated, in combination with cetuximab, for the treatment of adult patients with mCRC with a BRAF V600E mutation, as detected by an FDA-approved test, after prior therapy</w:t>
      </w:r>
      <w:r w:rsidR="00CA01F5">
        <w:t>.</w:t>
      </w:r>
    </w:p>
    <w:p w14:paraId="38AF41FF" w14:textId="763AB6F5" w:rsidR="00571C0F" w:rsidRDefault="00571C0F" w:rsidP="0079055E">
      <w:pPr>
        <w:pStyle w:val="ListParagraph"/>
      </w:pPr>
      <w:proofErr w:type="spellStart"/>
      <w:r w:rsidRPr="00C56140">
        <w:t>Braftovi</w:t>
      </w:r>
      <w:proofErr w:type="spellEnd"/>
      <w:r w:rsidRPr="00C56140">
        <w:t xml:space="preserve"> is indicated, in combination with binimetinib, for the treatment of adult patients with metastatic non-small cell lunch cancer (NSCLC) with a BRAF V600E mutation, as detected by an FDA-approved test.</w:t>
      </w:r>
    </w:p>
    <w:p w14:paraId="48085E54" w14:textId="281EABE4" w:rsidR="009A5649" w:rsidRDefault="00A30ABB" w:rsidP="006664D9">
      <w:pPr>
        <w:pStyle w:val="Heading3"/>
      </w:pPr>
      <w:r>
        <w:lastRenderedPageBreak/>
        <w:t>Limitations of Use</w:t>
      </w:r>
    </w:p>
    <w:p w14:paraId="2E2EF3EB" w14:textId="123EF89B" w:rsidR="00571C0F" w:rsidRPr="00571C0F" w:rsidRDefault="00571C0F" w:rsidP="00571C0F">
      <w:pPr>
        <w:pStyle w:val="BodyText"/>
      </w:pPr>
      <w:r w:rsidRPr="00571C0F">
        <w:t>Braftovi is not indicated for treatment of patients with wild-type BRAF melanoma, wild-type BRAF CRC, or wild-type BRAF NSCLC.</w:t>
      </w:r>
    </w:p>
    <w:p w14:paraId="0B5EC236" w14:textId="74074B84" w:rsidR="0044763A" w:rsidRPr="00571C0F" w:rsidRDefault="009F2EF1" w:rsidP="00653EA7">
      <w:pPr>
        <w:pStyle w:val="Heading3"/>
      </w:pPr>
      <w:r>
        <w:t>Compendial Uses</w:t>
      </w:r>
      <w:r w:rsidR="00571C0F" w:rsidRPr="00571C0F">
        <w:rPr>
          <w:vertAlign w:val="superscript"/>
        </w:rPr>
        <w:t>2-6</w:t>
      </w:r>
    </w:p>
    <w:p w14:paraId="517A371F" w14:textId="5BDE26EB" w:rsidR="00571C0F" w:rsidRPr="00DD1CEC" w:rsidRDefault="00571C0F" w:rsidP="00DD1CEC">
      <w:pPr>
        <w:pStyle w:val="ListParagraph"/>
        <w:numPr>
          <w:ilvl w:val="0"/>
          <w:numId w:val="42"/>
        </w:numPr>
        <w:contextualSpacing w:val="0"/>
      </w:pPr>
      <w:r w:rsidRPr="00DD1CEC">
        <w:t>Glioma, BRAF V600 activating mutation-positive</w:t>
      </w:r>
    </w:p>
    <w:p w14:paraId="58A16E43" w14:textId="505B95AD" w:rsidR="00571C0F" w:rsidRPr="00DD1CEC" w:rsidRDefault="00571C0F" w:rsidP="00DD1CEC">
      <w:pPr>
        <w:pStyle w:val="ListParagraph"/>
        <w:numPr>
          <w:ilvl w:val="0"/>
          <w:numId w:val="42"/>
        </w:numPr>
        <w:contextualSpacing w:val="0"/>
      </w:pPr>
      <w:r w:rsidRPr="00DD1CEC">
        <w:t>Meningioma, BRAF V600 activating mutation-positive</w:t>
      </w:r>
    </w:p>
    <w:p w14:paraId="440FDD8D" w14:textId="7FFA9192" w:rsidR="00571C0F" w:rsidRPr="00DD1CEC" w:rsidRDefault="00571C0F" w:rsidP="00DD1CEC">
      <w:pPr>
        <w:pStyle w:val="ListParagraph"/>
        <w:numPr>
          <w:ilvl w:val="0"/>
          <w:numId w:val="42"/>
        </w:numPr>
        <w:contextualSpacing w:val="0"/>
      </w:pPr>
      <w:r w:rsidRPr="00DD1CEC">
        <w:t>Astrocytoma, BRAF V600 activating mutation-positive</w:t>
      </w:r>
    </w:p>
    <w:p w14:paraId="2FB34290" w14:textId="7713FBC5" w:rsidR="00571C0F" w:rsidRPr="00DD1CEC" w:rsidRDefault="00571C0F" w:rsidP="00DD1CEC">
      <w:pPr>
        <w:pStyle w:val="ListParagraph"/>
        <w:numPr>
          <w:ilvl w:val="0"/>
          <w:numId w:val="42"/>
        </w:numPr>
        <w:contextualSpacing w:val="0"/>
      </w:pPr>
      <w:r w:rsidRPr="00DD1CEC">
        <w:t>Colorectal cancer, advanced disease</w:t>
      </w:r>
    </w:p>
    <w:p w14:paraId="0B0D6E13" w14:textId="45A8C9FD" w:rsidR="00571C0F" w:rsidRPr="00DD1CEC" w:rsidRDefault="00571C0F" w:rsidP="00DD1CEC">
      <w:pPr>
        <w:pStyle w:val="ListParagraph"/>
        <w:numPr>
          <w:ilvl w:val="0"/>
          <w:numId w:val="42"/>
        </w:numPr>
        <w:contextualSpacing w:val="0"/>
      </w:pPr>
      <w:r w:rsidRPr="00DD1CEC">
        <w:t>Colorectal cancer, unresectable metachronous metastases</w:t>
      </w:r>
    </w:p>
    <w:p w14:paraId="6913CBDB" w14:textId="3A5735D7" w:rsidR="00571C0F" w:rsidRPr="00DD1CEC" w:rsidRDefault="00571C0F" w:rsidP="00DD1CEC">
      <w:pPr>
        <w:pStyle w:val="ListParagraph"/>
        <w:numPr>
          <w:ilvl w:val="0"/>
          <w:numId w:val="42"/>
        </w:numPr>
        <w:contextualSpacing w:val="0"/>
      </w:pPr>
      <w:r w:rsidRPr="00DD1CEC">
        <w:t>Cutaneous melanoma</w:t>
      </w:r>
    </w:p>
    <w:p w14:paraId="5DE44C6B" w14:textId="37807C62" w:rsidR="00571C0F" w:rsidRPr="00571C0F" w:rsidRDefault="00571C0F" w:rsidP="00DD1CEC">
      <w:pPr>
        <w:pStyle w:val="BodyText"/>
      </w:pPr>
      <w:r>
        <w:t xml:space="preserve">All other indications are considered </w:t>
      </w:r>
      <w:r w:rsidRPr="00DD1CEC">
        <w:t>experimental</w:t>
      </w:r>
      <w:r>
        <w:t>/investigational and not medically necessary.</w:t>
      </w:r>
    </w:p>
    <w:p w14:paraId="36381B6D" w14:textId="15C750C8" w:rsidR="000D2496" w:rsidRDefault="000D2496" w:rsidP="000D2496">
      <w:pPr>
        <w:pStyle w:val="Heading2"/>
      </w:pPr>
      <w:r w:rsidRPr="00BD1CC1">
        <w:t>Documentation</w:t>
      </w:r>
    </w:p>
    <w:p w14:paraId="6DD9DA15" w14:textId="73336C35" w:rsidR="00571C0F" w:rsidRPr="00571C0F" w:rsidRDefault="00571C0F" w:rsidP="00DD1CEC">
      <w:pPr>
        <w:pStyle w:val="BodyText"/>
      </w:pPr>
      <w:r w:rsidRPr="00571C0F">
        <w:t>Submission of BRAF mutation documentation is necessary to initiate the prior authorization review.</w:t>
      </w:r>
    </w:p>
    <w:p w14:paraId="50A38FBA" w14:textId="780AF834" w:rsidR="00FE0C63" w:rsidRDefault="00685107" w:rsidP="00E050E1">
      <w:pPr>
        <w:pStyle w:val="Heading2"/>
      </w:pPr>
      <w:r>
        <w:t>Coverage Criteria</w:t>
      </w:r>
    </w:p>
    <w:p w14:paraId="326DAEE8" w14:textId="4788F331" w:rsidR="00571C0F" w:rsidRPr="00F05636" w:rsidRDefault="00571C0F" w:rsidP="00571C0F">
      <w:pPr>
        <w:pStyle w:val="Heading3"/>
      </w:pPr>
      <w:r w:rsidRPr="00F05636">
        <w:t>Cutaneous Melanoma</w:t>
      </w:r>
      <w:r w:rsidRPr="00F05636">
        <w:rPr>
          <w:vertAlign w:val="superscript"/>
        </w:rPr>
        <w:t>1,2</w:t>
      </w:r>
    </w:p>
    <w:p w14:paraId="34DBD71E" w14:textId="390A1BA9" w:rsidR="00571C0F" w:rsidRPr="00F05636" w:rsidRDefault="00571C0F" w:rsidP="004F6890">
      <w:pPr>
        <w:pStyle w:val="BodyText"/>
      </w:pPr>
      <w:r w:rsidRPr="00F05636">
        <w:t xml:space="preserve">Authorization of 12 months may be granted for treatment of cutaneous melanoma with a BRAF V600 mutation </w:t>
      </w:r>
      <w:r w:rsidR="00CD7E83" w:rsidRPr="00F05636">
        <w:t xml:space="preserve">positive </w:t>
      </w:r>
      <w:r w:rsidRPr="00F05636">
        <w:t>(e.g., V600E or V600K</w:t>
      </w:r>
      <w:r w:rsidR="00CD7E83" w:rsidRPr="00F05636">
        <w:t xml:space="preserve"> mutations</w:t>
      </w:r>
      <w:r w:rsidRPr="00F05636">
        <w:t xml:space="preserve">) </w:t>
      </w:r>
      <w:r w:rsidR="0036351E" w:rsidRPr="00F05636">
        <w:t xml:space="preserve">cutaneous melanoma </w:t>
      </w:r>
      <w:r w:rsidRPr="00F05636">
        <w:t>in any of the following settings:</w:t>
      </w:r>
    </w:p>
    <w:p w14:paraId="70D875C2" w14:textId="2A339865" w:rsidR="00571C0F" w:rsidRPr="00F05636" w:rsidRDefault="00571C0F" w:rsidP="0026407D">
      <w:pPr>
        <w:pStyle w:val="ListParagraph"/>
        <w:numPr>
          <w:ilvl w:val="0"/>
          <w:numId w:val="44"/>
        </w:numPr>
        <w:contextualSpacing w:val="0"/>
      </w:pPr>
      <w:r w:rsidRPr="00F05636">
        <w:t>Unresectable or metastatic disease when used either:</w:t>
      </w:r>
    </w:p>
    <w:p w14:paraId="3B2A87D7" w14:textId="7661E760" w:rsidR="00571C0F" w:rsidRPr="00F05636" w:rsidRDefault="00571C0F" w:rsidP="0026407D">
      <w:pPr>
        <w:pStyle w:val="ListParagraph"/>
        <w:numPr>
          <w:ilvl w:val="1"/>
          <w:numId w:val="34"/>
        </w:numPr>
        <w:contextualSpacing w:val="0"/>
      </w:pPr>
      <w:r w:rsidRPr="00F05636">
        <w:t xml:space="preserve">in combination with </w:t>
      </w:r>
      <w:proofErr w:type="spellStart"/>
      <w:r w:rsidRPr="00F05636">
        <w:t>binimetinib</w:t>
      </w:r>
      <w:proofErr w:type="spellEnd"/>
      <w:r w:rsidRPr="00F05636">
        <w:t xml:space="preserve"> (</w:t>
      </w:r>
      <w:proofErr w:type="spellStart"/>
      <w:r w:rsidRPr="00F05636">
        <w:t>Mektovi</w:t>
      </w:r>
      <w:proofErr w:type="spellEnd"/>
      <w:r w:rsidRPr="00F05636">
        <w:t>), or</w:t>
      </w:r>
    </w:p>
    <w:p w14:paraId="69AA2064" w14:textId="1A9E1D9A" w:rsidR="00571C0F" w:rsidRPr="00F05636" w:rsidRDefault="00571C0F" w:rsidP="0026407D">
      <w:pPr>
        <w:pStyle w:val="ListParagraph"/>
        <w:numPr>
          <w:ilvl w:val="1"/>
          <w:numId w:val="34"/>
        </w:numPr>
        <w:contextualSpacing w:val="0"/>
      </w:pPr>
      <w:r w:rsidRPr="00F05636">
        <w:t>as a single agent, if BRAF/MEK inhibitor combination therapy is contraindicated</w:t>
      </w:r>
    </w:p>
    <w:p w14:paraId="52FC244B" w14:textId="58E4E037" w:rsidR="0036087A" w:rsidRPr="00F05636" w:rsidRDefault="0036087A" w:rsidP="0026407D">
      <w:pPr>
        <w:pStyle w:val="ListParagraph"/>
        <w:numPr>
          <w:ilvl w:val="0"/>
          <w:numId w:val="44"/>
        </w:numPr>
        <w:contextualSpacing w:val="0"/>
      </w:pPr>
      <w:r w:rsidRPr="00F05636">
        <w:t xml:space="preserve">Neoadjuvant therapy in combination with </w:t>
      </w:r>
      <w:proofErr w:type="spellStart"/>
      <w:r w:rsidRPr="00F05636">
        <w:t>binimetinib</w:t>
      </w:r>
      <w:proofErr w:type="spellEnd"/>
      <w:r w:rsidRPr="00F05636">
        <w:t xml:space="preserve"> (</w:t>
      </w:r>
      <w:proofErr w:type="spellStart"/>
      <w:r w:rsidRPr="00F05636">
        <w:t>Mektovi</w:t>
      </w:r>
      <w:proofErr w:type="spellEnd"/>
      <w:r w:rsidRPr="00F05636">
        <w:t>) if immunotherapy is contraindicated when the member has had an unacceptable toxicity to dabrafenib (Tafinlar) in combination with trametinib (Mekinist) or dabrafenib/trametinib are less desirable based on side-effect profiles.</w:t>
      </w:r>
    </w:p>
    <w:p w14:paraId="3EA97BA3" w14:textId="0B1F8348" w:rsidR="00571C0F" w:rsidRPr="00F05636" w:rsidRDefault="00571C0F" w:rsidP="0026407D">
      <w:pPr>
        <w:pStyle w:val="ListParagraph"/>
        <w:numPr>
          <w:ilvl w:val="0"/>
          <w:numId w:val="44"/>
        </w:numPr>
        <w:contextualSpacing w:val="0"/>
      </w:pPr>
      <w:r w:rsidRPr="00F05636">
        <w:t xml:space="preserve">Adjuvant treatment of resected stage III disease in combination with </w:t>
      </w:r>
      <w:proofErr w:type="spellStart"/>
      <w:r w:rsidRPr="00F05636">
        <w:t>binimetinib</w:t>
      </w:r>
      <w:proofErr w:type="spellEnd"/>
      <w:r w:rsidRPr="00F05636">
        <w:t xml:space="preserve"> (</w:t>
      </w:r>
      <w:proofErr w:type="spellStart"/>
      <w:r w:rsidRPr="00F05636">
        <w:t>Mektovi</w:t>
      </w:r>
      <w:proofErr w:type="spellEnd"/>
      <w:r w:rsidRPr="00F05636">
        <w:t>) when the member has had an unacceptable toxicity to dabrafenib (Tafinlar) in combination with trametinib (Mekinist) or dabrafenib/trametinib are less desirable based on side-effect profiles.</w:t>
      </w:r>
    </w:p>
    <w:p w14:paraId="184945A8" w14:textId="758478BE" w:rsidR="00571C0F" w:rsidRPr="00F05636" w:rsidRDefault="00571C0F" w:rsidP="0026407D">
      <w:pPr>
        <w:pStyle w:val="ListParagraph"/>
        <w:numPr>
          <w:ilvl w:val="0"/>
          <w:numId w:val="44"/>
        </w:numPr>
        <w:contextualSpacing w:val="0"/>
      </w:pPr>
      <w:r w:rsidRPr="00F05636">
        <w:t xml:space="preserve">Limited resectable local satellite/in-transit recurrent disease in combination with </w:t>
      </w:r>
      <w:proofErr w:type="spellStart"/>
      <w:r w:rsidRPr="00F05636">
        <w:t>binimetinib</w:t>
      </w:r>
      <w:proofErr w:type="spellEnd"/>
      <w:r w:rsidRPr="00F05636">
        <w:t xml:space="preserve"> (</w:t>
      </w:r>
      <w:proofErr w:type="spellStart"/>
      <w:r w:rsidRPr="00F05636">
        <w:t>Mektovi</w:t>
      </w:r>
      <w:proofErr w:type="spellEnd"/>
      <w:r w:rsidRPr="00F05636">
        <w:t>) when the member has had an unacceptable toxicity to dabrafenib (Tafinlar) in combination with trametinib (Mekinist) or dabrafenib/trametinib are less desirable based on side-effect profiles</w:t>
      </w:r>
      <w:r w:rsidR="00F05636" w:rsidRPr="00E61E82">
        <w:t>.</w:t>
      </w:r>
    </w:p>
    <w:p w14:paraId="4E02013E" w14:textId="426F6BD7" w:rsidR="00571C0F" w:rsidRPr="00F05636" w:rsidRDefault="00571C0F" w:rsidP="00571C0F">
      <w:pPr>
        <w:pStyle w:val="Heading3"/>
      </w:pPr>
      <w:r w:rsidRPr="00F05636">
        <w:t>Central Nervous System Cancer</w:t>
      </w:r>
      <w:r w:rsidRPr="00F05636">
        <w:rPr>
          <w:vertAlign w:val="superscript"/>
        </w:rPr>
        <w:t>3-6</w:t>
      </w:r>
    </w:p>
    <w:p w14:paraId="346902FC" w14:textId="050ACD9B" w:rsidR="00571C0F" w:rsidRPr="00F05636" w:rsidRDefault="00571C0F" w:rsidP="0026407D">
      <w:pPr>
        <w:pStyle w:val="BodyText"/>
      </w:pPr>
      <w:r w:rsidRPr="00F05636">
        <w:t>Authorization of 12 months may be granted for treatment of BRAF V600 mutation-positive (e.g., BRAF V600E or V600K) gliomas, meningiomas, or astrocytomas.</w:t>
      </w:r>
    </w:p>
    <w:p w14:paraId="3BA44DB9" w14:textId="33258BC2" w:rsidR="00571C0F" w:rsidRPr="00F05636" w:rsidRDefault="00571C0F" w:rsidP="00571C0F">
      <w:pPr>
        <w:pStyle w:val="Heading3"/>
      </w:pPr>
      <w:r w:rsidRPr="00F05636">
        <w:t>Colorectal Cancer</w:t>
      </w:r>
      <w:r w:rsidRPr="00F05636">
        <w:rPr>
          <w:vertAlign w:val="superscript"/>
        </w:rPr>
        <w:t>1,2,7,8</w:t>
      </w:r>
    </w:p>
    <w:p w14:paraId="29467352" w14:textId="46727C65" w:rsidR="00571C0F" w:rsidRPr="00F05636" w:rsidRDefault="00571C0F" w:rsidP="00DE3915">
      <w:pPr>
        <w:pStyle w:val="BodyText"/>
      </w:pPr>
      <w:r w:rsidRPr="00F05636">
        <w:t xml:space="preserve">Authorization of 12 months may be granted for treatment of </w:t>
      </w:r>
      <w:r w:rsidR="00907CD3" w:rsidRPr="00F05636">
        <w:t>BRAF V600E mutation</w:t>
      </w:r>
      <w:r w:rsidR="00907CD3">
        <w:t>-positive</w:t>
      </w:r>
      <w:r w:rsidR="00907CD3" w:rsidRPr="00F05636">
        <w:t xml:space="preserve"> </w:t>
      </w:r>
      <w:r w:rsidRPr="00F05636">
        <w:t xml:space="preserve">colorectal cancer (including appendiceal adenocarcinoma and anal adenocarcinoma) when </w:t>
      </w:r>
      <w:r w:rsidR="00907CD3">
        <w:t xml:space="preserve">either of </w:t>
      </w:r>
      <w:r w:rsidRPr="00F05636">
        <w:t>the following criteria are met:</w:t>
      </w:r>
    </w:p>
    <w:p w14:paraId="7F7BF4EB" w14:textId="410FD438" w:rsidR="00571C0F" w:rsidRPr="00F05636" w:rsidRDefault="007754A1" w:rsidP="007754A1">
      <w:pPr>
        <w:pStyle w:val="ListParagraph"/>
        <w:numPr>
          <w:ilvl w:val="0"/>
          <w:numId w:val="46"/>
        </w:numPr>
        <w:contextualSpacing w:val="0"/>
      </w:pPr>
      <w:r>
        <w:t>The requested medication will be</w:t>
      </w:r>
      <w:r w:rsidR="00571C0F" w:rsidRPr="00F05636">
        <w:t xml:space="preserve"> used in combination with either cetuximab (Erbitux) or panitumumab (Vectibix)</w:t>
      </w:r>
      <w:r>
        <w:t xml:space="preserve"> and e</w:t>
      </w:r>
      <w:r w:rsidR="00571C0F" w:rsidRPr="00F05636">
        <w:t>ither of the following:</w:t>
      </w:r>
    </w:p>
    <w:p w14:paraId="516FD8BA" w14:textId="248912C7" w:rsidR="00571C0F" w:rsidRPr="00F05636" w:rsidRDefault="00571C0F" w:rsidP="00DE3915">
      <w:pPr>
        <w:pStyle w:val="ListParagraph"/>
        <w:numPr>
          <w:ilvl w:val="1"/>
          <w:numId w:val="37"/>
        </w:numPr>
        <w:contextualSpacing w:val="0"/>
      </w:pPr>
      <w:r w:rsidRPr="00F05636">
        <w:t>Will be used as subsequent therapy for advanced or metastatic disease</w:t>
      </w:r>
    </w:p>
    <w:p w14:paraId="2EFFA252" w14:textId="39A233A9" w:rsidR="00571C0F" w:rsidRDefault="00571C0F" w:rsidP="00DE3915">
      <w:pPr>
        <w:pStyle w:val="ListParagraph"/>
        <w:numPr>
          <w:ilvl w:val="1"/>
          <w:numId w:val="37"/>
        </w:numPr>
        <w:contextualSpacing w:val="0"/>
      </w:pPr>
      <w:r w:rsidRPr="00F05636">
        <w:t xml:space="preserve">Will be used as primary treatment for unresectable metachronous metastases and the member has received FOLFOX (fluorouracil, leucovorin, and oxaliplatin) or </w:t>
      </w:r>
      <w:proofErr w:type="spellStart"/>
      <w:r w:rsidRPr="00F05636">
        <w:t>CapeOX</w:t>
      </w:r>
      <w:proofErr w:type="spellEnd"/>
      <w:r w:rsidRPr="00F05636">
        <w:t xml:space="preserve"> (capecitabine and oxaliplatin) within the past 12 months</w:t>
      </w:r>
    </w:p>
    <w:p w14:paraId="7ED369C0" w14:textId="1B87D8AE" w:rsidR="007754A1" w:rsidRPr="00F05636" w:rsidRDefault="007754A1" w:rsidP="007754A1">
      <w:pPr>
        <w:pStyle w:val="ListParagraph"/>
        <w:numPr>
          <w:ilvl w:val="0"/>
          <w:numId w:val="37"/>
        </w:numPr>
        <w:contextualSpacing w:val="0"/>
      </w:pPr>
      <w:r>
        <w:t>The requested medication will be</w:t>
      </w:r>
      <w:r w:rsidRPr="00F05636">
        <w:t xml:space="preserve"> used in combination with </w:t>
      </w:r>
      <w:r>
        <w:t xml:space="preserve">FOLFOX regimen and </w:t>
      </w:r>
      <w:r w:rsidRPr="00F05636">
        <w:t>either cetuximab (Erbitux) or panitumumab (Vectibix)</w:t>
      </w:r>
      <w:r>
        <w:t xml:space="preserve"> for unresectable, medically inoperable, or metastatic disease.</w:t>
      </w:r>
    </w:p>
    <w:p w14:paraId="2002DFA9" w14:textId="60C65130" w:rsidR="00571C0F" w:rsidRPr="00F05636" w:rsidRDefault="00571C0F" w:rsidP="00571C0F">
      <w:pPr>
        <w:pStyle w:val="Heading3"/>
      </w:pPr>
      <w:r w:rsidRPr="00F05636">
        <w:t>Non-Small Cell Lung Cancer (NSCLC)</w:t>
      </w:r>
      <w:r w:rsidRPr="00F05636">
        <w:rPr>
          <w:vertAlign w:val="superscript"/>
        </w:rPr>
        <w:t>1,2</w:t>
      </w:r>
    </w:p>
    <w:p w14:paraId="3CC8FDD6" w14:textId="294B0EE4" w:rsidR="00571C0F" w:rsidRPr="00571C0F" w:rsidRDefault="00571C0F" w:rsidP="00DE3915">
      <w:pPr>
        <w:pStyle w:val="BodyText"/>
      </w:pPr>
      <w:r w:rsidRPr="00F05636">
        <w:t xml:space="preserve">Authorization of 12 months may be granted for treatment of BRAF V600E mutation-positive recurrent, advanced, or metastatic NSCLC in combination with </w:t>
      </w:r>
      <w:proofErr w:type="spellStart"/>
      <w:r w:rsidRPr="00F05636">
        <w:t>binimetinib</w:t>
      </w:r>
      <w:proofErr w:type="spellEnd"/>
      <w:r w:rsidRPr="00F05636">
        <w:t xml:space="preserve"> (</w:t>
      </w:r>
      <w:proofErr w:type="spellStart"/>
      <w:r w:rsidRPr="00F05636">
        <w:t>Mektovi</w:t>
      </w:r>
      <w:proofErr w:type="spellEnd"/>
      <w:r w:rsidRPr="00F05636">
        <w:t>) when the member has not experienced disease progression on BRAF-targeted therapy.</w:t>
      </w:r>
    </w:p>
    <w:p w14:paraId="3A643EC3" w14:textId="40955B38" w:rsidR="00A501AC" w:rsidRDefault="00A501AC" w:rsidP="00A501AC">
      <w:pPr>
        <w:pStyle w:val="Heading2"/>
      </w:pPr>
      <w:r w:rsidRPr="00BD1CC1">
        <w:t>Continuation of Therapy</w:t>
      </w:r>
    </w:p>
    <w:p w14:paraId="2A46EE3D" w14:textId="687D4011" w:rsidR="00571C0F" w:rsidRPr="00571C0F" w:rsidRDefault="00571C0F" w:rsidP="00DE3915">
      <w:pPr>
        <w:pStyle w:val="BodyText"/>
      </w:pPr>
      <w:r w:rsidRPr="00571C0F">
        <w:t xml:space="preserve">Authorization of 12 months may be granted for continued treatment in members requesting reauthorization for an </w:t>
      </w:r>
      <w:r w:rsidRPr="00DE3915">
        <w:t>indication</w:t>
      </w:r>
      <w:r w:rsidRPr="00571C0F">
        <w:t xml:space="preserve"> listed in the coverage criteria section when there is no evidence of unacceptable toxicity or disease progression while on the current regimen.</w:t>
      </w:r>
    </w:p>
    <w:p w14:paraId="10DA4309" w14:textId="79985FF1" w:rsidR="00FF66BF" w:rsidRDefault="00FF66BF" w:rsidP="00FF66BF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1D2CC4A5" w14:textId="2CF5506D" w:rsidR="003938C1" w:rsidRPr="003938C1" w:rsidRDefault="003938C1" w:rsidP="003938C1">
      <w:pPr>
        <w:pStyle w:val="ReferenceOrdered"/>
      </w:pPr>
      <w:r w:rsidRPr="003938C1">
        <w:t xml:space="preserve">Braftovi [package insert]. Boulder, CO: Array BioPharma, Inc.; </w:t>
      </w:r>
      <w:r w:rsidR="0084580A">
        <w:t>March</w:t>
      </w:r>
      <w:r w:rsidR="0084580A" w:rsidRPr="003938C1">
        <w:t xml:space="preserve"> </w:t>
      </w:r>
      <w:r w:rsidRPr="003938C1">
        <w:t>202</w:t>
      </w:r>
      <w:r w:rsidR="0084580A">
        <w:t>5</w:t>
      </w:r>
      <w:r w:rsidRPr="003938C1">
        <w:t>.</w:t>
      </w:r>
    </w:p>
    <w:p w14:paraId="5980C05C" w14:textId="5C831040" w:rsidR="003938C1" w:rsidRPr="003938C1" w:rsidRDefault="003938C1" w:rsidP="003938C1">
      <w:pPr>
        <w:pStyle w:val="ReferenceOrdered"/>
      </w:pPr>
      <w:r w:rsidRPr="003938C1">
        <w:t xml:space="preserve">The NCCN Drugs &amp; Biologics Compendium® © </w:t>
      </w:r>
      <w:r w:rsidR="00053BA4" w:rsidRPr="003938C1">
        <w:t>202</w:t>
      </w:r>
      <w:r w:rsidR="00133D56">
        <w:t>5</w:t>
      </w:r>
      <w:r w:rsidR="00053BA4" w:rsidRPr="003938C1">
        <w:t xml:space="preserve"> </w:t>
      </w:r>
      <w:r w:rsidRPr="003938C1">
        <w:t>National Comprehensive Cancer Network, Inc. https://www.nccn.org. Accessed</w:t>
      </w:r>
      <w:r w:rsidR="00133D56">
        <w:t xml:space="preserve"> April 8</w:t>
      </w:r>
      <w:r w:rsidRPr="003938C1">
        <w:t xml:space="preserve">, </w:t>
      </w:r>
      <w:r w:rsidR="00500690" w:rsidRPr="003938C1">
        <w:t>202</w:t>
      </w:r>
      <w:r w:rsidR="00133D56">
        <w:t>5</w:t>
      </w:r>
      <w:r w:rsidRPr="003938C1">
        <w:t>.</w:t>
      </w:r>
    </w:p>
    <w:p w14:paraId="3B608222" w14:textId="7FA9F2B1" w:rsidR="003938C1" w:rsidRPr="003938C1" w:rsidRDefault="003938C1" w:rsidP="003938C1">
      <w:pPr>
        <w:pStyle w:val="ReferenceOrdered"/>
      </w:pPr>
      <w:proofErr w:type="spellStart"/>
      <w:r w:rsidRPr="003938C1">
        <w:t>Usubalieva</w:t>
      </w:r>
      <w:proofErr w:type="spellEnd"/>
      <w:r w:rsidRPr="003938C1">
        <w:t xml:space="preserve"> A, Pierson CR, </w:t>
      </w:r>
      <w:proofErr w:type="spellStart"/>
      <w:r w:rsidRPr="003938C1">
        <w:t>Kavran</w:t>
      </w:r>
      <w:proofErr w:type="spellEnd"/>
      <w:r w:rsidRPr="003938C1">
        <w:t xml:space="preserve"> CA, et al. Primary Meningeal Pleomorphic Xanthoastrocytoma With Anaplastic Features: A Report of 2 Cases, One With </w:t>
      </w:r>
      <w:r w:rsidRPr="00653EA7">
        <w:t>BRAFV600E</w:t>
      </w:r>
      <w:r w:rsidRPr="003938C1">
        <w:t xml:space="preserve"> Mutation and Clinical Response to the BRAF Inhibitor Dabrafenib. </w:t>
      </w:r>
      <w:r w:rsidRPr="00653EA7">
        <w:t>Journal of neuropathology and experimental neurology</w:t>
      </w:r>
      <w:r w:rsidRPr="001367DC">
        <w:t>.</w:t>
      </w:r>
      <w:r w:rsidRPr="003938C1">
        <w:t xml:space="preserve"> 2015;74(10):960-969. doi:10.1097/NEN.0000000000000240.</w:t>
      </w:r>
    </w:p>
    <w:p w14:paraId="5D2856E6" w14:textId="6C5DA093" w:rsidR="003938C1" w:rsidRDefault="003938C1" w:rsidP="003938C1">
      <w:pPr>
        <w:pStyle w:val="ReferenceOrdered"/>
      </w:pPr>
      <w:r w:rsidRPr="00FF2444">
        <w:rPr>
          <w:lang w:val="pt-BR"/>
        </w:rPr>
        <w:t xml:space="preserve">Mordechai O, Postovsky S, Vlodavsky E, et al. </w:t>
      </w:r>
      <w:r w:rsidRPr="003938C1">
        <w:t xml:space="preserve">Metastatic Rhabdoid Meningioma with BRAF V600E Mutation and Good Response to Personalized Therapy: Case Report and Review of the Literature. Pediatric Hematology and Oncology. 2015; 32:3, 207-211, DOI: </w:t>
      </w:r>
      <w:r w:rsidR="00870C7C" w:rsidRPr="00870C7C">
        <w:t>10.3109/08880018.2014.936058</w:t>
      </w:r>
    </w:p>
    <w:p w14:paraId="751A5E6E" w14:textId="7DDD5557" w:rsidR="003938C1" w:rsidRPr="003938C1" w:rsidRDefault="003938C1" w:rsidP="003938C1">
      <w:pPr>
        <w:pStyle w:val="ReferenceOrdered"/>
      </w:pPr>
      <w:r w:rsidRPr="00FF2444">
        <w:rPr>
          <w:lang w:val="it-IT"/>
        </w:rPr>
        <w:t xml:space="preserve">Lassaletta, A, Guerreiro Stucklin, A, Ramaswamy, V, et al. </w:t>
      </w:r>
      <w:r w:rsidRPr="003938C1">
        <w:t>Profound clinical and radiological response to BRAF inhibition in a 2‐month‐old diencephalic child with hypothalamic/chiasmatic glioma. Pediatric Blood and Cancer. 2016; 63: 2038-2041. doi:10.1002/pbc.26086.</w:t>
      </w:r>
    </w:p>
    <w:p w14:paraId="0FA59774" w14:textId="7785C5A9" w:rsidR="003938C1" w:rsidRPr="003938C1" w:rsidRDefault="003938C1" w:rsidP="003938C1">
      <w:pPr>
        <w:pStyle w:val="ReferenceOrdered"/>
      </w:pPr>
      <w:r w:rsidRPr="00FF2444">
        <w:rPr>
          <w:lang w:val="sv-SE"/>
        </w:rPr>
        <w:t xml:space="preserve">Meletah SK, Pavlick D, Brennan T, et al. </w:t>
      </w:r>
      <w:r w:rsidRPr="003938C1">
        <w:t xml:space="preserve">Personalized Treatment for a Patient with a BRAF V600E Mutation using Dabrafenib and a Tumor Treatment Fields Device in a High-Grade Glioma Arising from Ganglioglioma. </w:t>
      </w:r>
      <w:r w:rsidRPr="00653EA7">
        <w:t>Journal of the National Comprehensive Cancer Network</w:t>
      </w:r>
      <w:r w:rsidRPr="003938C1">
        <w:t>. 2016; 14(11): 1345-1350.</w:t>
      </w:r>
    </w:p>
    <w:p w14:paraId="5EAFF4F6" w14:textId="35C39B69" w:rsidR="003938C1" w:rsidRPr="003938C1" w:rsidRDefault="003938C1" w:rsidP="003938C1">
      <w:pPr>
        <w:pStyle w:val="ReferenceOrdered"/>
      </w:pPr>
      <w:r w:rsidRPr="003938C1">
        <w:t xml:space="preserve">NCCN Clinical Practice Guidelines in Oncology (NCCN Guidelines): Anal Carcinoma. Version </w:t>
      </w:r>
      <w:r w:rsidR="00F05636">
        <w:t>1</w:t>
      </w:r>
      <w:r w:rsidRPr="003938C1">
        <w:t>.202</w:t>
      </w:r>
      <w:r w:rsidR="00F05636">
        <w:t>4</w:t>
      </w:r>
      <w:r w:rsidRPr="003938C1">
        <w:t>. Accessed November 15, 202</w:t>
      </w:r>
      <w:r w:rsidR="00B17107">
        <w:t>4</w:t>
      </w:r>
      <w:r w:rsidRPr="003938C1">
        <w:t>. https://www.nccn.org/professionals/physician_gls/pdf/anal.pdf</w:t>
      </w:r>
      <w:r w:rsidR="006122B9">
        <w:t>.</w:t>
      </w:r>
    </w:p>
    <w:p w14:paraId="47E1A10C" w14:textId="1162385E" w:rsidR="00C44990" w:rsidRPr="006122B9" w:rsidRDefault="003938C1" w:rsidP="006122B9">
      <w:pPr>
        <w:pStyle w:val="ReferenceOrdered"/>
      </w:pPr>
      <w:r w:rsidRPr="003938C1">
        <w:t xml:space="preserve">NCCN Clinical Practice Guidelines in Oncology (NCCN Guidelines): Colon Cancer. Version </w:t>
      </w:r>
      <w:r w:rsidR="008C40E3">
        <w:t>5</w:t>
      </w:r>
      <w:r w:rsidRPr="003938C1">
        <w:t>.202</w:t>
      </w:r>
      <w:r w:rsidR="008C40E3">
        <w:t>4</w:t>
      </w:r>
      <w:r w:rsidRPr="003938C1">
        <w:t>. Accessed November 15, 202</w:t>
      </w:r>
      <w:r w:rsidR="008C40E3">
        <w:t>4</w:t>
      </w:r>
      <w:r w:rsidRPr="003938C1">
        <w:t>. https://www.nccn.org/professionals/physician_gls/pdf/colon.pdf</w:t>
      </w:r>
    </w:p>
    <w:sectPr w:rsidR="00C44990" w:rsidRPr="006122B9" w:rsidSect="002546C8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1DBC0" w14:textId="77777777" w:rsidR="00331589" w:rsidRDefault="00331589">
      <w:r>
        <w:separator/>
      </w:r>
    </w:p>
  </w:endnote>
  <w:endnote w:type="continuationSeparator" w:id="0">
    <w:p w14:paraId="478EC3F2" w14:textId="77777777" w:rsidR="00331589" w:rsidRDefault="00331589">
      <w:r>
        <w:continuationSeparator/>
      </w:r>
    </w:p>
  </w:endnote>
  <w:endnote w:type="continuationNotice" w:id="1">
    <w:p w14:paraId="5704714E" w14:textId="77777777" w:rsidR="00331589" w:rsidRDefault="00331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A33685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C2827" w:rsidRPr="008C2827">
      <w:rPr>
        <w:rFonts w:cs="Arial"/>
        <w:noProof/>
        <w:sz w:val="16"/>
        <w:szCs w:val="16"/>
      </w:rPr>
      <w:t>Braftovi</w:t>
    </w:r>
    <w:r w:rsidR="008C2827">
      <w:rPr>
        <w:rFonts w:cs="Arial"/>
        <w:noProof/>
        <w:snapToGrid w:val="0"/>
        <w:color w:val="000000"/>
        <w:sz w:val="16"/>
        <w:szCs w:val="16"/>
      </w:rPr>
      <w:t xml:space="preserve"> SGM 2616-A</w:t>
    </w:r>
    <w:r w:rsidR="008C2827" w:rsidRPr="008C2827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0563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7B6F3B2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382A45B" w:rsidR="00F75C81" w:rsidRPr="00AA1E6A" w:rsidRDefault="00C36B72" w:rsidP="006122B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341F37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367DC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06F34" w:rsidRPr="00006F34">
      <w:rPr>
        <w:rFonts w:cs="Arial"/>
        <w:noProof/>
        <w:sz w:val="16"/>
        <w:szCs w:val="16"/>
      </w:rPr>
      <w:t>Braftovi</w:t>
    </w:r>
    <w:r w:rsidR="00006F34">
      <w:rPr>
        <w:rFonts w:cs="Arial"/>
        <w:noProof/>
        <w:snapToGrid w:val="0"/>
        <w:color w:val="000000"/>
        <w:sz w:val="16"/>
        <w:szCs w:val="16"/>
      </w:rPr>
      <w:t xml:space="preserve"> SGM 2616-A</w:t>
    </w:r>
    <w:r w:rsidR="00006F34" w:rsidRPr="00006F34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1367DC">
      <w:rPr>
        <w:rFonts w:cs="Arial"/>
        <w:snapToGrid w:val="0"/>
        <w:color w:val="000000"/>
        <w:sz w:val="16"/>
      </w:rPr>
      <w:tab/>
      <w:t>© 202</w:t>
    </w:r>
    <w:r w:rsidR="00F05636">
      <w:rPr>
        <w:rFonts w:cs="Arial"/>
        <w:snapToGrid w:val="0"/>
        <w:color w:val="000000"/>
        <w:sz w:val="16"/>
      </w:rPr>
      <w:t>5</w:t>
    </w:r>
    <w:r w:rsidRPr="001367DC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F5F77D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CF23A39" w:rsidR="00ED04EC" w:rsidRPr="00F50D98" w:rsidRDefault="00F50D98" w:rsidP="006122B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ACB1A" w14:textId="5B0FDDE3" w:rsidR="003938C1" w:rsidRPr="00F50D98" w:rsidRDefault="003938C1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793C0" w14:textId="77777777" w:rsidR="00331589" w:rsidRDefault="00331589">
      <w:r>
        <w:separator/>
      </w:r>
    </w:p>
  </w:footnote>
  <w:footnote w:type="continuationSeparator" w:id="0">
    <w:p w14:paraId="43D170E1" w14:textId="77777777" w:rsidR="00331589" w:rsidRDefault="00331589">
      <w:r>
        <w:continuationSeparator/>
      </w:r>
    </w:p>
  </w:footnote>
  <w:footnote w:type="continuationNotice" w:id="1">
    <w:p w14:paraId="53A6488C" w14:textId="77777777" w:rsidR="00331589" w:rsidRDefault="00331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DE3915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C27142F" w:rsidR="00ED04EC" w:rsidRPr="004C7F1D" w:rsidRDefault="00DE3915" w:rsidP="00DE3915">
          <w:pPr>
            <w:pStyle w:val="RefTableData"/>
          </w:pPr>
          <w:r>
            <w:t>2616-A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DE3915" w:rsidRPr="00ED04EC" w14:paraId="5165953B" w14:textId="77777777" w:rsidTr="002A78E4">
      <w:trPr>
        <w:trHeight w:val="144"/>
        <w:jc w:val="right"/>
      </w:trPr>
      <w:tc>
        <w:tcPr>
          <w:tcW w:w="1854" w:type="dxa"/>
          <w:hideMark/>
        </w:tcPr>
        <w:p w14:paraId="3001D56D" w14:textId="77777777" w:rsidR="00DE3915" w:rsidRPr="00AA1E6A" w:rsidRDefault="00DE3915" w:rsidP="00DE3915">
          <w:pPr>
            <w:pStyle w:val="RefTableData"/>
          </w:pPr>
          <w:r w:rsidRPr="00AA1E6A">
            <w:t>Reference number(s)</w:t>
          </w:r>
        </w:p>
      </w:tc>
    </w:tr>
    <w:tr w:rsidR="00DE3915" w:rsidRPr="00ED04EC" w14:paraId="3F601DD0" w14:textId="77777777" w:rsidTr="002A78E4">
      <w:trPr>
        <w:trHeight w:val="378"/>
        <w:jc w:val="right"/>
      </w:trPr>
      <w:tc>
        <w:tcPr>
          <w:tcW w:w="1854" w:type="dxa"/>
          <w:hideMark/>
        </w:tcPr>
        <w:p w14:paraId="411AE215" w14:textId="77777777" w:rsidR="00DE3915" w:rsidRPr="004C7F1D" w:rsidRDefault="00DE3915" w:rsidP="00DE3915">
          <w:pPr>
            <w:pStyle w:val="RefTableData"/>
          </w:pPr>
          <w:r>
            <w:t>2616-A</w:t>
          </w:r>
        </w:p>
      </w:tc>
    </w:tr>
  </w:tbl>
  <w:p w14:paraId="6CA9251E" w14:textId="77777777" w:rsidR="00DE3915" w:rsidRPr="00DE3915" w:rsidRDefault="00DE3915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6F5846"/>
    <w:multiLevelType w:val="hybridMultilevel"/>
    <w:tmpl w:val="8520B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E25DE"/>
    <w:multiLevelType w:val="hybridMultilevel"/>
    <w:tmpl w:val="DCF2C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617CF1"/>
    <w:multiLevelType w:val="hybridMultilevel"/>
    <w:tmpl w:val="C094A374"/>
    <w:lvl w:ilvl="0" w:tplc="52305E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885211"/>
    <w:multiLevelType w:val="hybridMultilevel"/>
    <w:tmpl w:val="41D61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A571C2"/>
    <w:multiLevelType w:val="hybridMultilevel"/>
    <w:tmpl w:val="096A6A90"/>
    <w:lvl w:ilvl="0" w:tplc="5150C3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52CF34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2971A5"/>
    <w:multiLevelType w:val="hybridMultilevel"/>
    <w:tmpl w:val="171E5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DE527E"/>
    <w:multiLevelType w:val="hybridMultilevel"/>
    <w:tmpl w:val="BFF6D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600E3"/>
    <w:multiLevelType w:val="hybridMultilevel"/>
    <w:tmpl w:val="32869B76"/>
    <w:lvl w:ilvl="0" w:tplc="2E3C25F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3516BE"/>
    <w:multiLevelType w:val="hybridMultilevel"/>
    <w:tmpl w:val="67B02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5B4348"/>
    <w:multiLevelType w:val="hybridMultilevel"/>
    <w:tmpl w:val="25DAA03C"/>
    <w:lvl w:ilvl="0" w:tplc="DB96BB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498205C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934015"/>
    <w:multiLevelType w:val="hybridMultilevel"/>
    <w:tmpl w:val="19041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534202"/>
    <w:multiLevelType w:val="hybridMultilevel"/>
    <w:tmpl w:val="A8EA92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22999"/>
    <w:multiLevelType w:val="hybridMultilevel"/>
    <w:tmpl w:val="3CA87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A1C19"/>
    <w:multiLevelType w:val="hybridMultilevel"/>
    <w:tmpl w:val="4E90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0B3D91"/>
    <w:multiLevelType w:val="hybridMultilevel"/>
    <w:tmpl w:val="54C4478C"/>
    <w:lvl w:ilvl="0" w:tplc="E2CA0A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E17D1B"/>
    <w:multiLevelType w:val="hybridMultilevel"/>
    <w:tmpl w:val="7FC04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84B3A"/>
    <w:multiLevelType w:val="hybridMultilevel"/>
    <w:tmpl w:val="76A05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800BC9"/>
    <w:multiLevelType w:val="hybridMultilevel"/>
    <w:tmpl w:val="8594F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B11B6F"/>
    <w:multiLevelType w:val="hybridMultilevel"/>
    <w:tmpl w:val="742C4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8"/>
  </w:num>
  <w:num w:numId="3" w16cid:durableId="611589570">
    <w:abstractNumId w:val="3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6"/>
  </w:num>
  <w:num w:numId="17" w16cid:durableId="2128498676">
    <w:abstractNumId w:val="43"/>
  </w:num>
  <w:num w:numId="18" w16cid:durableId="299724409">
    <w:abstractNumId w:val="35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45"/>
  </w:num>
  <w:num w:numId="22" w16cid:durableId="1472481103">
    <w:abstractNumId w:val="37"/>
  </w:num>
  <w:num w:numId="23" w16cid:durableId="1997420403">
    <w:abstractNumId w:val="39"/>
  </w:num>
  <w:num w:numId="24" w16cid:durableId="33312838">
    <w:abstractNumId w:val="36"/>
  </w:num>
  <w:num w:numId="25" w16cid:durableId="507404939">
    <w:abstractNumId w:val="25"/>
  </w:num>
  <w:num w:numId="26" w16cid:durableId="1950313333">
    <w:abstractNumId w:val="31"/>
  </w:num>
  <w:num w:numId="27" w16cid:durableId="1866016584">
    <w:abstractNumId w:val="30"/>
  </w:num>
  <w:num w:numId="28" w16cid:durableId="1423915173">
    <w:abstractNumId w:val="32"/>
  </w:num>
  <w:num w:numId="29" w16cid:durableId="1059087353">
    <w:abstractNumId w:val="22"/>
  </w:num>
  <w:num w:numId="30" w16cid:durableId="1076243038">
    <w:abstractNumId w:val="14"/>
  </w:num>
  <w:num w:numId="31" w16cid:durableId="64257141">
    <w:abstractNumId w:val="34"/>
  </w:num>
  <w:num w:numId="32" w16cid:durableId="202527119">
    <w:abstractNumId w:val="17"/>
  </w:num>
  <w:num w:numId="33" w16cid:durableId="1634023635">
    <w:abstractNumId w:val="19"/>
  </w:num>
  <w:num w:numId="34" w16cid:durableId="180169282">
    <w:abstractNumId w:val="28"/>
  </w:num>
  <w:num w:numId="35" w16cid:durableId="525800880">
    <w:abstractNumId w:val="21"/>
  </w:num>
  <w:num w:numId="36" w16cid:durableId="1074860005">
    <w:abstractNumId w:val="24"/>
  </w:num>
  <w:num w:numId="37" w16cid:durableId="567544335">
    <w:abstractNumId w:val="27"/>
  </w:num>
  <w:num w:numId="38" w16cid:durableId="1706446576">
    <w:abstractNumId w:val="11"/>
  </w:num>
  <w:num w:numId="39" w16cid:durableId="1682320497">
    <w:abstractNumId w:val="15"/>
  </w:num>
  <w:num w:numId="40" w16cid:durableId="1210803307">
    <w:abstractNumId w:val="29"/>
  </w:num>
  <w:num w:numId="41" w16cid:durableId="1110276318">
    <w:abstractNumId w:val="40"/>
  </w:num>
  <w:num w:numId="42" w16cid:durableId="765541425">
    <w:abstractNumId w:val="42"/>
  </w:num>
  <w:num w:numId="43" w16cid:durableId="243105443">
    <w:abstractNumId w:val="41"/>
  </w:num>
  <w:num w:numId="44" w16cid:durableId="2045207339">
    <w:abstractNumId w:val="23"/>
  </w:num>
  <w:num w:numId="45" w16cid:durableId="1226525326">
    <w:abstractNumId w:val="45"/>
  </w:num>
  <w:num w:numId="46" w16cid:durableId="130054369">
    <w:abstractNumId w:val="20"/>
  </w:num>
  <w:num w:numId="47" w16cid:durableId="363293956">
    <w:abstractNumId w:val="4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6F34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3C70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BA4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2ED7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3D56"/>
    <w:rsid w:val="001344B1"/>
    <w:rsid w:val="00134671"/>
    <w:rsid w:val="0013477B"/>
    <w:rsid w:val="0013503B"/>
    <w:rsid w:val="001356EF"/>
    <w:rsid w:val="001367DC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6C8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07D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74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39A"/>
    <w:rsid w:val="002B6999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589"/>
    <w:rsid w:val="003319A7"/>
    <w:rsid w:val="00332104"/>
    <w:rsid w:val="00332261"/>
    <w:rsid w:val="0033231E"/>
    <w:rsid w:val="0033308C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7A"/>
    <w:rsid w:val="003608FE"/>
    <w:rsid w:val="00360F75"/>
    <w:rsid w:val="00361AEE"/>
    <w:rsid w:val="00362CE9"/>
    <w:rsid w:val="0036351E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67E01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8C1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2A3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5E3A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177B7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5B6"/>
    <w:rsid w:val="0044763A"/>
    <w:rsid w:val="00447E12"/>
    <w:rsid w:val="004507D8"/>
    <w:rsid w:val="004513DD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85C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4B2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890"/>
    <w:rsid w:val="004F6DE0"/>
    <w:rsid w:val="004F71F1"/>
    <w:rsid w:val="004F7DE7"/>
    <w:rsid w:val="004F7DFB"/>
    <w:rsid w:val="00500690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1C0F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4EBE"/>
    <w:rsid w:val="00585601"/>
    <w:rsid w:val="005856DF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2B9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3EA7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32D"/>
    <w:rsid w:val="00665820"/>
    <w:rsid w:val="006664D9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3B74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0CED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4FEA"/>
    <w:rsid w:val="007754A1"/>
    <w:rsid w:val="00775C9E"/>
    <w:rsid w:val="007775AA"/>
    <w:rsid w:val="00777708"/>
    <w:rsid w:val="007778B0"/>
    <w:rsid w:val="00777BDA"/>
    <w:rsid w:val="00777C02"/>
    <w:rsid w:val="00781993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55E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AF4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80A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0C7C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2827"/>
    <w:rsid w:val="008C30A0"/>
    <w:rsid w:val="008C3173"/>
    <w:rsid w:val="008C3DF1"/>
    <w:rsid w:val="008C40E3"/>
    <w:rsid w:val="008C42FB"/>
    <w:rsid w:val="008C45B6"/>
    <w:rsid w:val="008C54D9"/>
    <w:rsid w:val="008C5E4C"/>
    <w:rsid w:val="008D073D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1B8D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CD3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68A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2B87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4E3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870"/>
    <w:rsid w:val="00A23BE3"/>
    <w:rsid w:val="00A24116"/>
    <w:rsid w:val="00A242BE"/>
    <w:rsid w:val="00A2570B"/>
    <w:rsid w:val="00A25BB6"/>
    <w:rsid w:val="00A278EB"/>
    <w:rsid w:val="00A30ABB"/>
    <w:rsid w:val="00A31B7A"/>
    <w:rsid w:val="00A320D9"/>
    <w:rsid w:val="00A326BC"/>
    <w:rsid w:val="00A32801"/>
    <w:rsid w:val="00A32DF4"/>
    <w:rsid w:val="00A331A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973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12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2AA4"/>
    <w:rsid w:val="00A93AA1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074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107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56140"/>
    <w:rsid w:val="00C600E7"/>
    <w:rsid w:val="00C60692"/>
    <w:rsid w:val="00C60873"/>
    <w:rsid w:val="00C60AD4"/>
    <w:rsid w:val="00C6155D"/>
    <w:rsid w:val="00C615E3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1F5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4D4"/>
    <w:rsid w:val="00CB4985"/>
    <w:rsid w:val="00CB63DB"/>
    <w:rsid w:val="00CB677D"/>
    <w:rsid w:val="00CB6D83"/>
    <w:rsid w:val="00CB6FF0"/>
    <w:rsid w:val="00CB7503"/>
    <w:rsid w:val="00CB763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D7E83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29C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2CE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99F"/>
    <w:rsid w:val="00DC7B0D"/>
    <w:rsid w:val="00DC7CBE"/>
    <w:rsid w:val="00DD11EC"/>
    <w:rsid w:val="00DD1A9A"/>
    <w:rsid w:val="00DD1CEC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3915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45A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E7C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73E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4A6D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636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67A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048C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1EDC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444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37977E-64F9-4DD1-AF97-20F691A60E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Braftovi SGM 2616-A</vt:lpstr>
    </vt:vector>
  </TitlesOfParts>
  <Company>PCS Health Systems</Company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Braftovi SGM 2616-A</dc:title>
  <dc:subject/>
  <dc:creator>CVS Caremark</dc:creator>
  <cp:keywords/>
  <cp:lastModifiedBy>Huerta, Linda M</cp:lastModifiedBy>
  <cp:revision>9</cp:revision>
  <cp:lastPrinted>2018-01-09T05:01:00Z</cp:lastPrinted>
  <dcterms:created xsi:type="dcterms:W3CDTF">2025-04-10T15:23:00Z</dcterms:created>
  <dcterms:modified xsi:type="dcterms:W3CDTF">2025-04-10T20:05:00Z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1132100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